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3E660A" wp14:paraId="07AE2988" wp14:textId="588A3162">
      <w:pPr>
        <w:spacing w:before="240" w:beforeAutospacing="off" w:after="240" w:afterAutospacing="off" w:line="480" w:lineRule="auto"/>
        <w:jc w:val="center"/>
      </w:pPr>
      <w:r>
        <w:br/>
      </w:r>
      <w:r>
        <w:br/>
      </w:r>
      <w:r>
        <w:br/>
      </w:r>
      <w:r>
        <w:br/>
      </w:r>
      <w:r w:rsidRPr="633E660A" w:rsidR="3B8BC13B">
        <w:rPr>
          <w:rFonts w:ascii="Times New Roman" w:hAnsi="Times New Roman" w:eastAsia="Times New Roman" w:cs="Times New Roman"/>
          <w:b w:val="1"/>
          <w:bCs w:val="1"/>
          <w:noProof w:val="0"/>
          <w:sz w:val="24"/>
          <w:szCs w:val="24"/>
          <w:lang w:val="en-US"/>
        </w:rPr>
        <w:t>Research Article Critique</w:t>
      </w:r>
      <w:r w:rsidRPr="633E660A" w:rsidR="2F0E5E39">
        <w:rPr>
          <w:rFonts w:ascii="Times New Roman" w:hAnsi="Times New Roman" w:eastAsia="Times New Roman" w:cs="Times New Roman"/>
          <w:b w:val="1"/>
          <w:bCs w:val="1"/>
          <w:noProof w:val="0"/>
          <w:sz w:val="24"/>
          <w:szCs w:val="24"/>
          <w:lang w:val="en-US"/>
        </w:rPr>
        <w:t xml:space="preserve"> </w:t>
      </w:r>
      <w:r w:rsidRPr="633E660A" w:rsidR="3B8BC13B">
        <w:rPr>
          <w:rFonts w:ascii="Times New Roman" w:hAnsi="Times New Roman" w:eastAsia="Times New Roman" w:cs="Times New Roman"/>
          <w:b w:val="1"/>
          <w:bCs w:val="1"/>
          <w:noProof w:val="0"/>
          <w:sz w:val="24"/>
          <w:szCs w:val="24"/>
          <w:lang w:val="en-US"/>
        </w:rPr>
        <w:t>Challenges for Educational Technologists in the 21st Century</w:t>
      </w:r>
    </w:p>
    <w:p xmlns:wp14="http://schemas.microsoft.com/office/word/2010/wordml" w:rsidP="633E660A" wp14:paraId="587412C4" wp14:textId="46517264">
      <w:pPr>
        <w:spacing w:before="240" w:beforeAutospacing="off" w:after="240" w:afterAutospacing="off" w:line="480" w:lineRule="auto"/>
        <w:jc w:val="center"/>
      </w:pPr>
      <w:r w:rsidRPr="633E660A" w:rsidR="3B8BC13B">
        <w:rPr>
          <w:rFonts w:ascii="Times New Roman" w:hAnsi="Times New Roman" w:eastAsia="Times New Roman" w:cs="Times New Roman"/>
          <w:noProof w:val="0"/>
          <w:sz w:val="24"/>
          <w:szCs w:val="24"/>
          <w:lang w:val="en-US"/>
        </w:rPr>
        <w:t xml:space="preserve">Mathin Shaik University of North Texas </w:t>
      </w:r>
      <w:r>
        <w:br/>
      </w:r>
      <w:r w:rsidRPr="633E660A" w:rsidR="3B8BC13B">
        <w:rPr>
          <w:rFonts w:ascii="Times New Roman" w:hAnsi="Times New Roman" w:eastAsia="Times New Roman" w:cs="Times New Roman"/>
          <w:noProof w:val="0"/>
          <w:sz w:val="24"/>
          <w:szCs w:val="24"/>
          <w:lang w:val="en-US"/>
        </w:rPr>
        <w:t xml:space="preserve">Course: LTEC 5610 – Analysis of Research in Learning Technologies </w:t>
      </w:r>
      <w:r>
        <w:br/>
      </w:r>
      <w:r w:rsidRPr="633E660A" w:rsidR="3B8BC13B">
        <w:rPr>
          <w:rFonts w:ascii="Times New Roman" w:hAnsi="Times New Roman" w:eastAsia="Times New Roman" w:cs="Times New Roman"/>
          <w:noProof w:val="0"/>
          <w:sz w:val="24"/>
          <w:szCs w:val="24"/>
          <w:lang w:val="en-US"/>
        </w:rPr>
        <w:t xml:space="preserve">Instructor: Dr. Ji Hyun Yu </w:t>
      </w:r>
      <w:r>
        <w:br/>
      </w:r>
      <w:r w:rsidRPr="633E660A" w:rsidR="3B8BC13B">
        <w:rPr>
          <w:rFonts w:ascii="Times New Roman" w:hAnsi="Times New Roman" w:eastAsia="Times New Roman" w:cs="Times New Roman"/>
          <w:noProof w:val="0"/>
          <w:sz w:val="24"/>
          <w:szCs w:val="24"/>
          <w:lang w:val="en-US"/>
        </w:rPr>
        <w:t>Date: May 7, 2025</w:t>
      </w:r>
    </w:p>
    <w:p xmlns:wp14="http://schemas.microsoft.com/office/word/2010/wordml" w:rsidP="633E660A" wp14:paraId="2F1A4612" wp14:textId="386AD63A">
      <w:pPr>
        <w:spacing w:line="480" w:lineRule="auto"/>
      </w:pPr>
    </w:p>
    <w:p xmlns:wp14="http://schemas.microsoft.com/office/word/2010/wordml" w:rsidP="633E660A" wp14:paraId="3EE9AD66" wp14:textId="64857027">
      <w:pPr>
        <w:spacing w:before="240" w:beforeAutospacing="off" w:after="240" w:afterAutospacing="off" w:line="480" w:lineRule="auto"/>
        <w:rPr>
          <w:rFonts w:ascii="Times New Roman" w:hAnsi="Times New Roman" w:eastAsia="Times New Roman" w:cs="Times New Roman"/>
          <w:b w:val="1"/>
          <w:bCs w:val="1"/>
          <w:noProof w:val="0"/>
          <w:sz w:val="24"/>
          <w:szCs w:val="24"/>
          <w:lang w:val="en-US"/>
        </w:rPr>
      </w:pPr>
    </w:p>
    <w:p xmlns:wp14="http://schemas.microsoft.com/office/word/2010/wordml" w:rsidP="633E660A" wp14:paraId="21B55F06" wp14:textId="037621AF">
      <w:pPr>
        <w:spacing w:line="480" w:lineRule="auto"/>
      </w:pPr>
      <w:r>
        <w:br w:type="page"/>
      </w:r>
    </w:p>
    <w:p xmlns:wp14="http://schemas.microsoft.com/office/word/2010/wordml" w:rsidP="633E660A" wp14:paraId="7160C75E" wp14:textId="491BDB5E">
      <w:pPr>
        <w:pStyle w:val="Normal"/>
        <w:spacing w:before="240" w:beforeAutospacing="off" w:after="240" w:afterAutospacing="off" w:line="480" w:lineRule="auto"/>
      </w:pPr>
      <w:r w:rsidRPr="633E660A" w:rsidR="3B8BC13B">
        <w:rPr>
          <w:rFonts w:ascii="Times New Roman" w:hAnsi="Times New Roman" w:eastAsia="Times New Roman" w:cs="Times New Roman"/>
          <w:b w:val="1"/>
          <w:bCs w:val="1"/>
          <w:noProof w:val="0"/>
          <w:sz w:val="24"/>
          <w:szCs w:val="24"/>
          <w:lang w:val="en-US"/>
        </w:rPr>
        <w:t>Research Article Critique: Challenges for Educational Technologists in the 21st Century</w:t>
      </w:r>
    </w:p>
    <w:p xmlns:wp14="http://schemas.microsoft.com/office/word/2010/wordml" w:rsidP="633E660A" wp14:paraId="575B9412" wp14:textId="2BD9035F">
      <w:pPr>
        <w:spacing w:before="240" w:beforeAutospacing="off" w:after="240" w:afterAutospacing="off" w:line="480" w:lineRule="auto"/>
      </w:pPr>
      <w:r w:rsidRPr="633E660A" w:rsidR="3B8BC13B">
        <w:rPr>
          <w:rFonts w:ascii="Times New Roman" w:hAnsi="Times New Roman" w:eastAsia="Times New Roman" w:cs="Times New Roman"/>
          <w:b w:val="1"/>
          <w:bCs w:val="1"/>
          <w:noProof w:val="0"/>
          <w:sz w:val="24"/>
          <w:szCs w:val="24"/>
          <w:lang w:val="en-US"/>
        </w:rPr>
        <w:t>Reference</w:t>
      </w:r>
      <w:r>
        <w:br/>
      </w:r>
      <w:r w:rsidRPr="633E660A" w:rsidR="3B8BC13B">
        <w:rPr>
          <w:rFonts w:ascii="Times New Roman" w:hAnsi="Times New Roman" w:eastAsia="Times New Roman" w:cs="Times New Roman"/>
          <w:noProof w:val="0"/>
          <w:sz w:val="24"/>
          <w:szCs w:val="24"/>
          <w:lang w:val="en-US"/>
        </w:rPr>
        <w:t xml:space="preserve">Mayes, R., Natividad, G., &amp; Spector, J. M. (2015). Challenges for educational technologists in the 21st century. </w:t>
      </w:r>
      <w:r w:rsidRPr="633E660A" w:rsidR="3B8BC13B">
        <w:rPr>
          <w:rFonts w:ascii="Times New Roman" w:hAnsi="Times New Roman" w:eastAsia="Times New Roman" w:cs="Times New Roman"/>
          <w:i w:val="1"/>
          <w:iCs w:val="1"/>
          <w:noProof w:val="0"/>
          <w:sz w:val="24"/>
          <w:szCs w:val="24"/>
          <w:lang w:val="en-US"/>
        </w:rPr>
        <w:t>Education Sciences</w:t>
      </w:r>
      <w:r w:rsidRPr="633E660A" w:rsidR="3B8BC13B">
        <w:rPr>
          <w:rFonts w:ascii="Times New Roman" w:hAnsi="Times New Roman" w:eastAsia="Times New Roman" w:cs="Times New Roman"/>
          <w:noProof w:val="0"/>
          <w:sz w:val="24"/>
          <w:szCs w:val="24"/>
          <w:lang w:val="en-US"/>
        </w:rPr>
        <w:t xml:space="preserve">, </w:t>
      </w:r>
      <w:r w:rsidRPr="633E660A" w:rsidR="3B8BC13B">
        <w:rPr>
          <w:rFonts w:ascii="Times New Roman" w:hAnsi="Times New Roman" w:eastAsia="Times New Roman" w:cs="Times New Roman"/>
          <w:i w:val="1"/>
          <w:iCs w:val="1"/>
          <w:noProof w:val="0"/>
          <w:sz w:val="24"/>
          <w:szCs w:val="24"/>
          <w:lang w:val="en-US"/>
        </w:rPr>
        <w:t>5</w:t>
      </w:r>
      <w:r w:rsidRPr="633E660A" w:rsidR="3B8BC13B">
        <w:rPr>
          <w:rFonts w:ascii="Times New Roman" w:hAnsi="Times New Roman" w:eastAsia="Times New Roman" w:cs="Times New Roman"/>
          <w:noProof w:val="0"/>
          <w:sz w:val="24"/>
          <w:szCs w:val="24"/>
          <w:lang w:val="en-US"/>
        </w:rPr>
        <w:t xml:space="preserve">(3), 221–229. </w:t>
      </w:r>
      <w:hyperlink r:id="R37474c5cd7364dac">
        <w:r w:rsidRPr="633E660A" w:rsidR="3B8BC13B">
          <w:rPr>
            <w:rStyle w:val="Hyperlink"/>
            <w:rFonts w:ascii="Times New Roman" w:hAnsi="Times New Roman" w:eastAsia="Times New Roman" w:cs="Times New Roman"/>
            <w:noProof w:val="0"/>
            <w:sz w:val="24"/>
            <w:szCs w:val="24"/>
            <w:lang w:val="en-US"/>
          </w:rPr>
          <w:t>https://doi.org/10.3390/educsci5030221</w:t>
        </w:r>
      </w:hyperlink>
    </w:p>
    <w:p xmlns:wp14="http://schemas.microsoft.com/office/word/2010/wordml" w:rsidP="633E660A" wp14:paraId="39404C2C" wp14:textId="2944789A">
      <w:pPr>
        <w:pStyle w:val="Normal"/>
        <w:spacing w:line="480" w:lineRule="auto"/>
      </w:pPr>
      <w:r w:rsidRPr="633E660A" w:rsidR="3B8BC13B">
        <w:rPr>
          <w:rFonts w:ascii="Times New Roman" w:hAnsi="Times New Roman" w:eastAsia="Times New Roman" w:cs="Times New Roman"/>
          <w:b w:val="1"/>
          <w:bCs w:val="1"/>
          <w:noProof w:val="0"/>
          <w:sz w:val="24"/>
          <w:szCs w:val="24"/>
          <w:lang w:val="en-US"/>
        </w:rPr>
        <w:t>Purpose of Study</w:t>
      </w:r>
    </w:p>
    <w:p xmlns:wp14="http://schemas.microsoft.com/office/word/2010/wordml" w:rsidP="633E660A" wp14:paraId="38B4F333" wp14:textId="6B57D6E2">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The purpose of this conceptual article is to examine the complex and layered challenges educational technologists face when integrating modern technology into K–12 learning environments. The authors articulate their aim clearly from the outset, framing the discussion around systemic, ethical, and infrastructural concerns while also addressing the evolving professional identity of educators </w:t>
      </w:r>
      <w:r w:rsidRPr="633E660A" w:rsidR="3B8BC13B">
        <w:rPr>
          <w:rFonts w:ascii="Times New Roman" w:hAnsi="Times New Roman" w:eastAsia="Times New Roman" w:cs="Times New Roman"/>
          <w:noProof w:val="0"/>
          <w:sz w:val="24"/>
          <w:szCs w:val="24"/>
          <w:lang w:val="en-US"/>
        </w:rPr>
        <w:t>operating</w:t>
      </w:r>
      <w:r w:rsidRPr="633E660A" w:rsidR="3B8BC13B">
        <w:rPr>
          <w:rFonts w:ascii="Times New Roman" w:hAnsi="Times New Roman" w:eastAsia="Times New Roman" w:cs="Times New Roman"/>
          <w:noProof w:val="0"/>
          <w:sz w:val="24"/>
          <w:szCs w:val="24"/>
          <w:lang w:val="en-US"/>
        </w:rPr>
        <w:t xml:space="preserve"> in an increasingly technology-driven landscape. The article is positioned as a field-level reflection rather than an empirical investigation, and it succeeds in raising important questions about the sustainability and equity of technology integration in formal schooling.</w:t>
      </w:r>
    </w:p>
    <w:p xmlns:wp14="http://schemas.microsoft.com/office/word/2010/wordml" w:rsidP="633E660A" wp14:paraId="22E97F12" wp14:textId="4B56E5BE">
      <w:pPr>
        <w:pStyle w:val="Normal"/>
        <w:spacing w:line="480" w:lineRule="auto"/>
      </w:pPr>
      <w:r w:rsidRPr="633E660A" w:rsidR="3B8BC13B">
        <w:rPr>
          <w:rFonts w:ascii="Times New Roman" w:hAnsi="Times New Roman" w:eastAsia="Times New Roman" w:cs="Times New Roman"/>
          <w:b w:val="1"/>
          <w:bCs w:val="1"/>
          <w:noProof w:val="0"/>
          <w:sz w:val="24"/>
          <w:szCs w:val="24"/>
          <w:lang w:val="en-US"/>
        </w:rPr>
        <w:t>Literature Review &amp; Theoretical Framework</w:t>
      </w:r>
    </w:p>
    <w:p xmlns:wp14="http://schemas.microsoft.com/office/word/2010/wordml" w:rsidP="633E660A" wp14:paraId="788874DA" wp14:textId="099145D3">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The article draws from a broad and well-referenced literature base, incorporating both foundational and contemporary </w:t>
      </w:r>
      <w:r w:rsidRPr="633E660A" w:rsidR="3B8BC13B">
        <w:rPr>
          <w:rFonts w:ascii="Times New Roman" w:hAnsi="Times New Roman" w:eastAsia="Times New Roman" w:cs="Times New Roman"/>
          <w:noProof w:val="0"/>
          <w:sz w:val="24"/>
          <w:szCs w:val="24"/>
          <w:lang w:val="en-US"/>
        </w:rPr>
        <w:t>scholarship</w:t>
      </w:r>
      <w:r w:rsidRPr="633E660A" w:rsidR="3B8BC13B">
        <w:rPr>
          <w:rFonts w:ascii="Times New Roman" w:hAnsi="Times New Roman" w:eastAsia="Times New Roman" w:cs="Times New Roman"/>
          <w:noProof w:val="0"/>
          <w:sz w:val="24"/>
          <w:szCs w:val="24"/>
          <w:lang w:val="en-US"/>
        </w:rPr>
        <w:t>. The authors engage with themes including the digital divide, instructional design models, systemic planning, and the professional preparation of educators — all of which remain central concerns in the field. Familiar instructional design frameworks such as ADDIE are referenced to contextualize practical challenges, and the authors lean heavily on expert perspectives and position papers to build their argument.</w:t>
      </w:r>
    </w:p>
    <w:p xmlns:wp14="http://schemas.microsoft.com/office/word/2010/wordml" w:rsidP="633E660A" wp14:paraId="1F4C3AFF" wp14:textId="5890ADA5">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However, the article's theoretical grounding is limited. While it makes use of established concepts, it does not explicitly adopt or systematically apply a single theoretical framework. As a result, the analysis, though broad, lacks the depth that a more structured theoretical lens — such as Activity Theory, Technological Pedagogical Content Knowledge (TPACK), or systems thinking — could have provided. For a field that values rigorous theoretical alignment, this omission is notable, even if understandable given the article's conceptual orientation.</w:t>
      </w:r>
    </w:p>
    <w:p xmlns:wp14="http://schemas.microsoft.com/office/word/2010/wordml" w:rsidP="633E660A" wp14:paraId="128C74BD" wp14:textId="3AF7B2F7">
      <w:pPr>
        <w:pStyle w:val="Normal"/>
        <w:spacing w:line="480" w:lineRule="auto"/>
      </w:pPr>
      <w:r w:rsidRPr="633E660A" w:rsidR="3B8BC13B">
        <w:rPr>
          <w:rFonts w:ascii="Times New Roman" w:hAnsi="Times New Roman" w:eastAsia="Times New Roman" w:cs="Times New Roman"/>
          <w:b w:val="1"/>
          <w:bCs w:val="1"/>
          <w:noProof w:val="0"/>
          <w:sz w:val="24"/>
          <w:szCs w:val="24"/>
          <w:lang w:val="en-US"/>
        </w:rPr>
        <w:t>Research Questions &amp; Hypotheses</w:t>
      </w:r>
    </w:p>
    <w:p xmlns:wp14="http://schemas.microsoft.com/office/word/2010/wordml" w:rsidP="633E660A" wp14:paraId="6D8E2D6B" wp14:textId="7C9A26CC">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As a conceptual discussion rather than an empirical study, the article does not present formal research questions or testable hypotheses. Instead, the authors organize their argument around thematic categories of challenges, each explored through literature synthesis and analytical commentary. While this narrative approach is </w:t>
      </w:r>
      <w:r w:rsidRPr="633E660A" w:rsidR="3B8BC13B">
        <w:rPr>
          <w:rFonts w:ascii="Times New Roman" w:hAnsi="Times New Roman" w:eastAsia="Times New Roman" w:cs="Times New Roman"/>
          <w:noProof w:val="0"/>
          <w:sz w:val="24"/>
          <w:szCs w:val="24"/>
          <w:lang w:val="en-US"/>
        </w:rPr>
        <w:t>appropriate for</w:t>
      </w:r>
      <w:r w:rsidRPr="633E660A" w:rsidR="3B8BC13B">
        <w:rPr>
          <w:rFonts w:ascii="Times New Roman" w:hAnsi="Times New Roman" w:eastAsia="Times New Roman" w:cs="Times New Roman"/>
          <w:noProof w:val="0"/>
          <w:sz w:val="24"/>
          <w:szCs w:val="24"/>
          <w:lang w:val="en-US"/>
        </w:rPr>
        <w:t xml:space="preserve"> a </w:t>
      </w:r>
      <w:r w:rsidRPr="633E660A" w:rsidR="3B8BC13B">
        <w:rPr>
          <w:rFonts w:ascii="Times New Roman" w:hAnsi="Times New Roman" w:eastAsia="Times New Roman" w:cs="Times New Roman"/>
          <w:noProof w:val="0"/>
          <w:sz w:val="24"/>
          <w:szCs w:val="24"/>
          <w:lang w:val="en-US"/>
        </w:rPr>
        <w:t>position</w:t>
      </w:r>
      <w:r w:rsidRPr="633E660A" w:rsidR="3B8BC13B">
        <w:rPr>
          <w:rFonts w:ascii="Times New Roman" w:hAnsi="Times New Roman" w:eastAsia="Times New Roman" w:cs="Times New Roman"/>
          <w:noProof w:val="0"/>
          <w:sz w:val="24"/>
          <w:szCs w:val="24"/>
          <w:lang w:val="en-US"/>
        </w:rPr>
        <w:t xml:space="preserve"> paper and allows for flexibility in scope, it does limit the degree to which the article can be subjected to rigorous methodological critique. Readers looking for a structured research agenda will find the article more useful as a conversation starter than a definitive knowledge contribution.</w:t>
      </w:r>
    </w:p>
    <w:p xmlns:wp14="http://schemas.microsoft.com/office/word/2010/wordml" w:rsidP="633E660A" wp14:paraId="518132D9" wp14:textId="571954C1">
      <w:pPr>
        <w:pStyle w:val="Normal"/>
        <w:spacing w:line="480" w:lineRule="auto"/>
      </w:pPr>
      <w:r w:rsidRPr="633E660A" w:rsidR="3B8BC13B">
        <w:rPr>
          <w:rFonts w:ascii="Times New Roman" w:hAnsi="Times New Roman" w:eastAsia="Times New Roman" w:cs="Times New Roman"/>
          <w:b w:val="1"/>
          <w:bCs w:val="1"/>
          <w:noProof w:val="0"/>
          <w:sz w:val="24"/>
          <w:szCs w:val="24"/>
          <w:lang w:val="en-US"/>
        </w:rPr>
        <w:t>Population &amp; Sample</w:t>
      </w:r>
    </w:p>
    <w:p xmlns:wp14="http://schemas.microsoft.com/office/word/2010/wordml" w:rsidP="633E660A" wp14:paraId="05B0C9AB" wp14:textId="2CF599FD">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There is no defined population or sample in this study, which is expected given its non-empirical nature. The authors draw on examples from K–12 education broadly, referencing U.S. public schools and international initiatives such as UNESCO and PISA to situate their claims. However, the absence of a defined scope means the article's insights are difficult to apply with precision to any specific educational context. The sweeping generality of the discussion, while useful for raising awareness, limits how practitioners might translate the article's recommendations into context-specific action.</w:t>
      </w:r>
    </w:p>
    <w:p xmlns:wp14="http://schemas.microsoft.com/office/word/2010/wordml" w:rsidP="633E660A" wp14:paraId="4277D334" wp14:textId="059E1EC6">
      <w:pPr>
        <w:pStyle w:val="Normal"/>
        <w:spacing w:line="480" w:lineRule="auto"/>
      </w:pPr>
      <w:r w:rsidRPr="633E660A" w:rsidR="3B8BC13B">
        <w:rPr>
          <w:rFonts w:ascii="Times New Roman" w:hAnsi="Times New Roman" w:eastAsia="Times New Roman" w:cs="Times New Roman"/>
          <w:b w:val="1"/>
          <w:bCs w:val="1"/>
          <w:noProof w:val="0"/>
          <w:sz w:val="24"/>
          <w:szCs w:val="24"/>
          <w:lang w:val="en-US"/>
        </w:rPr>
        <w:t>Research Setting &amp; Context</w:t>
      </w:r>
    </w:p>
    <w:p xmlns:wp14="http://schemas.microsoft.com/office/word/2010/wordml" w:rsidP="633E660A" wp14:paraId="279C0C41" wp14:textId="2CBF9E20">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The article's setting is K–12 education in the United States, with some acknowledgment of global educational challenges. The authors reference large-scale international assessments and policy efforts to suggest that the issues they </w:t>
      </w:r>
      <w:r w:rsidRPr="633E660A" w:rsidR="3B8BC13B">
        <w:rPr>
          <w:rFonts w:ascii="Times New Roman" w:hAnsi="Times New Roman" w:eastAsia="Times New Roman" w:cs="Times New Roman"/>
          <w:noProof w:val="0"/>
          <w:sz w:val="24"/>
          <w:szCs w:val="24"/>
          <w:lang w:val="en-US"/>
        </w:rPr>
        <w:t>identify</w:t>
      </w:r>
      <w:r w:rsidRPr="633E660A" w:rsidR="3B8BC13B">
        <w:rPr>
          <w:rFonts w:ascii="Times New Roman" w:hAnsi="Times New Roman" w:eastAsia="Times New Roman" w:cs="Times New Roman"/>
          <w:noProof w:val="0"/>
          <w:sz w:val="24"/>
          <w:szCs w:val="24"/>
          <w:lang w:val="en-US"/>
        </w:rPr>
        <w:t xml:space="preserve"> are not isolated to one system but are characteristic of education technology integration worldwide. This broad framing is both a strength and a limitation — it enhances the article's relevance across contexts but reduces specificity, making it harder to evaluate which findings apply where and under what conditions.</w:t>
      </w:r>
    </w:p>
    <w:p xmlns:wp14="http://schemas.microsoft.com/office/word/2010/wordml" w:rsidP="633E660A" wp14:paraId="24871397" wp14:textId="4C2F626F">
      <w:pPr>
        <w:pStyle w:val="Normal"/>
        <w:spacing w:line="480" w:lineRule="auto"/>
      </w:pPr>
      <w:r w:rsidRPr="633E660A" w:rsidR="3B8BC13B">
        <w:rPr>
          <w:rFonts w:ascii="Times New Roman" w:hAnsi="Times New Roman" w:eastAsia="Times New Roman" w:cs="Times New Roman"/>
          <w:b w:val="1"/>
          <w:bCs w:val="1"/>
          <w:noProof w:val="0"/>
          <w:sz w:val="24"/>
          <w:szCs w:val="24"/>
          <w:lang w:val="en-US"/>
        </w:rPr>
        <w:t>Methodology</w:t>
      </w:r>
    </w:p>
    <w:p xmlns:wp14="http://schemas.microsoft.com/office/word/2010/wordml" w:rsidP="633E660A" wp14:paraId="0153BC7B" wp14:textId="6C8B7586">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The </w:t>
      </w:r>
      <w:r w:rsidRPr="633E660A" w:rsidR="3B8BC13B">
        <w:rPr>
          <w:rFonts w:ascii="Times New Roman" w:hAnsi="Times New Roman" w:eastAsia="Times New Roman" w:cs="Times New Roman"/>
          <w:noProof w:val="0"/>
          <w:sz w:val="24"/>
          <w:szCs w:val="24"/>
          <w:lang w:val="en-US"/>
        </w:rPr>
        <w:t>methodology</w:t>
      </w:r>
      <w:r w:rsidRPr="633E660A" w:rsidR="3B8BC13B">
        <w:rPr>
          <w:rFonts w:ascii="Times New Roman" w:hAnsi="Times New Roman" w:eastAsia="Times New Roman" w:cs="Times New Roman"/>
          <w:noProof w:val="0"/>
          <w:sz w:val="24"/>
          <w:szCs w:val="24"/>
          <w:lang w:val="en-US"/>
        </w:rPr>
        <w:t xml:space="preserve"> is reflective and narrative, grounded in expert experience and secondary literature. The authors synthesize existing </w:t>
      </w:r>
      <w:r w:rsidRPr="633E660A" w:rsidR="3B8BC13B">
        <w:rPr>
          <w:rFonts w:ascii="Times New Roman" w:hAnsi="Times New Roman" w:eastAsia="Times New Roman" w:cs="Times New Roman"/>
          <w:noProof w:val="0"/>
          <w:sz w:val="24"/>
          <w:szCs w:val="24"/>
          <w:lang w:val="en-US"/>
        </w:rPr>
        <w:t>scholarship</w:t>
      </w:r>
      <w:r w:rsidRPr="633E660A" w:rsidR="3B8BC13B">
        <w:rPr>
          <w:rFonts w:ascii="Times New Roman" w:hAnsi="Times New Roman" w:eastAsia="Times New Roman" w:cs="Times New Roman"/>
          <w:noProof w:val="0"/>
          <w:sz w:val="24"/>
          <w:szCs w:val="24"/>
          <w:lang w:val="en-US"/>
        </w:rPr>
        <w:t xml:space="preserve"> rather than generating new data, which is </w:t>
      </w:r>
      <w:r w:rsidRPr="633E660A" w:rsidR="3B8BC13B">
        <w:rPr>
          <w:rFonts w:ascii="Times New Roman" w:hAnsi="Times New Roman" w:eastAsia="Times New Roman" w:cs="Times New Roman"/>
          <w:noProof w:val="0"/>
          <w:sz w:val="24"/>
          <w:szCs w:val="24"/>
          <w:lang w:val="en-US"/>
        </w:rPr>
        <w:t>appropriate for</w:t>
      </w:r>
      <w:r w:rsidRPr="633E660A" w:rsidR="3B8BC13B">
        <w:rPr>
          <w:rFonts w:ascii="Times New Roman" w:hAnsi="Times New Roman" w:eastAsia="Times New Roman" w:cs="Times New Roman"/>
          <w:noProof w:val="0"/>
          <w:sz w:val="24"/>
          <w:szCs w:val="24"/>
          <w:lang w:val="en-US"/>
        </w:rPr>
        <w:t xml:space="preserve"> a theoretical commentary. That said, the paper would have </w:t>
      </w:r>
      <w:r w:rsidRPr="633E660A" w:rsidR="3B8BC13B">
        <w:rPr>
          <w:rFonts w:ascii="Times New Roman" w:hAnsi="Times New Roman" w:eastAsia="Times New Roman" w:cs="Times New Roman"/>
          <w:noProof w:val="0"/>
          <w:sz w:val="24"/>
          <w:szCs w:val="24"/>
          <w:lang w:val="en-US"/>
        </w:rPr>
        <w:t>benefited</w:t>
      </w:r>
      <w:r w:rsidRPr="633E660A" w:rsidR="3B8BC13B">
        <w:rPr>
          <w:rFonts w:ascii="Times New Roman" w:hAnsi="Times New Roman" w:eastAsia="Times New Roman" w:cs="Times New Roman"/>
          <w:noProof w:val="0"/>
          <w:sz w:val="24"/>
          <w:szCs w:val="24"/>
          <w:lang w:val="en-US"/>
        </w:rPr>
        <w:t xml:space="preserve"> from a more explicit acknowledgment of its methodological stance. Positioning the work as a systematic literature review, a conceptual analysis, or a structured expert commentary would have strengthened the authors' credibility and helped readers </w:t>
      </w:r>
      <w:r w:rsidRPr="633E660A" w:rsidR="3B8BC13B">
        <w:rPr>
          <w:rFonts w:ascii="Times New Roman" w:hAnsi="Times New Roman" w:eastAsia="Times New Roman" w:cs="Times New Roman"/>
          <w:noProof w:val="0"/>
          <w:sz w:val="24"/>
          <w:szCs w:val="24"/>
          <w:lang w:val="en-US"/>
        </w:rPr>
        <w:t>calibrate</w:t>
      </w:r>
      <w:r w:rsidRPr="633E660A" w:rsidR="3B8BC13B">
        <w:rPr>
          <w:rFonts w:ascii="Times New Roman" w:hAnsi="Times New Roman" w:eastAsia="Times New Roman" w:cs="Times New Roman"/>
          <w:noProof w:val="0"/>
          <w:sz w:val="24"/>
          <w:szCs w:val="24"/>
          <w:lang w:val="en-US"/>
        </w:rPr>
        <w:t xml:space="preserve"> their expectations. As it stands, the </w:t>
      </w:r>
      <w:r w:rsidRPr="633E660A" w:rsidR="3B8BC13B">
        <w:rPr>
          <w:rFonts w:ascii="Times New Roman" w:hAnsi="Times New Roman" w:eastAsia="Times New Roman" w:cs="Times New Roman"/>
          <w:noProof w:val="0"/>
          <w:sz w:val="24"/>
          <w:szCs w:val="24"/>
          <w:lang w:val="en-US"/>
        </w:rPr>
        <w:t>methodology</w:t>
      </w:r>
      <w:r w:rsidRPr="633E660A" w:rsidR="3B8BC13B">
        <w:rPr>
          <w:rFonts w:ascii="Times New Roman" w:hAnsi="Times New Roman" w:eastAsia="Times New Roman" w:cs="Times New Roman"/>
          <w:noProof w:val="0"/>
          <w:sz w:val="24"/>
          <w:szCs w:val="24"/>
          <w:lang w:val="en-US"/>
        </w:rPr>
        <w:t xml:space="preserve"> reads more like an extended editorial than a scholarly research method.</w:t>
      </w:r>
    </w:p>
    <w:p xmlns:wp14="http://schemas.microsoft.com/office/word/2010/wordml" w:rsidP="633E660A" wp14:paraId="6CA35A43" wp14:textId="594F0431">
      <w:pPr>
        <w:spacing w:line="480" w:lineRule="auto"/>
      </w:pPr>
    </w:p>
    <w:p xmlns:wp14="http://schemas.microsoft.com/office/word/2010/wordml" w:rsidP="633E660A" wp14:paraId="7C70E371" wp14:textId="3FE703FB">
      <w:pPr>
        <w:spacing w:before="240" w:beforeAutospacing="off" w:after="240" w:afterAutospacing="off" w:line="480" w:lineRule="auto"/>
      </w:pPr>
      <w:r>
        <w:br/>
      </w:r>
      <w:r>
        <w:br/>
      </w:r>
      <w:r w:rsidRPr="633E660A" w:rsidR="3B8BC13B">
        <w:rPr>
          <w:rFonts w:ascii="Times New Roman" w:hAnsi="Times New Roman" w:eastAsia="Times New Roman" w:cs="Times New Roman"/>
          <w:b w:val="1"/>
          <w:bCs w:val="1"/>
          <w:noProof w:val="0"/>
          <w:sz w:val="24"/>
          <w:szCs w:val="24"/>
          <w:lang w:val="en-US"/>
        </w:rPr>
        <w:t>Study Procedures &amp; Data Collection</w:t>
      </w:r>
    </w:p>
    <w:p xmlns:wp14="http://schemas.microsoft.com/office/word/2010/wordml" w:rsidP="633E660A" wp14:paraId="0E24CCC8" wp14:textId="2F1AE22A">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The article does not involve empirical procedures or primary data collection. The authors build their argument through the synthesis of published literature, thematic categorization of challenges, and reflective expert analysis. While authoritative sources are cited throughout, the reliance on secondary literature means the article cannot make claims about the frequency, </w:t>
      </w:r>
      <w:r w:rsidRPr="633E660A" w:rsidR="3B8BC13B">
        <w:rPr>
          <w:rFonts w:ascii="Times New Roman" w:hAnsi="Times New Roman" w:eastAsia="Times New Roman" w:cs="Times New Roman"/>
          <w:noProof w:val="0"/>
          <w:sz w:val="24"/>
          <w:szCs w:val="24"/>
          <w:lang w:val="en-US"/>
        </w:rPr>
        <w:t>magnitude</w:t>
      </w:r>
      <w:r w:rsidRPr="633E660A" w:rsidR="3B8BC13B">
        <w:rPr>
          <w:rFonts w:ascii="Times New Roman" w:hAnsi="Times New Roman" w:eastAsia="Times New Roman" w:cs="Times New Roman"/>
          <w:noProof w:val="0"/>
          <w:sz w:val="24"/>
          <w:szCs w:val="24"/>
          <w:lang w:val="en-US"/>
        </w:rPr>
        <w:t xml:space="preserve">, or causality of the challenges it </w:t>
      </w:r>
      <w:r w:rsidRPr="633E660A" w:rsidR="3B8BC13B">
        <w:rPr>
          <w:rFonts w:ascii="Times New Roman" w:hAnsi="Times New Roman" w:eastAsia="Times New Roman" w:cs="Times New Roman"/>
          <w:noProof w:val="0"/>
          <w:sz w:val="24"/>
          <w:szCs w:val="24"/>
          <w:lang w:val="en-US"/>
        </w:rPr>
        <w:t>identifies</w:t>
      </w:r>
      <w:r w:rsidRPr="633E660A" w:rsidR="3B8BC13B">
        <w:rPr>
          <w:rFonts w:ascii="Times New Roman" w:hAnsi="Times New Roman" w:eastAsia="Times New Roman" w:cs="Times New Roman"/>
          <w:noProof w:val="0"/>
          <w:sz w:val="24"/>
          <w:szCs w:val="24"/>
          <w:lang w:val="en-US"/>
        </w:rPr>
        <w:t>. This is a significant limitation for a field increasingly oriented toward evidence-based practice.</w:t>
      </w:r>
    </w:p>
    <w:p xmlns:wp14="http://schemas.microsoft.com/office/word/2010/wordml" w:rsidP="633E660A" wp14:paraId="0575D4CD" wp14:textId="1D5191B7">
      <w:pPr>
        <w:pStyle w:val="Normal"/>
        <w:spacing w:line="480" w:lineRule="auto"/>
      </w:pPr>
      <w:r w:rsidRPr="633E660A" w:rsidR="3B8BC13B">
        <w:rPr>
          <w:rFonts w:ascii="Times New Roman" w:hAnsi="Times New Roman" w:eastAsia="Times New Roman" w:cs="Times New Roman"/>
          <w:b w:val="1"/>
          <w:bCs w:val="1"/>
          <w:noProof w:val="0"/>
          <w:sz w:val="24"/>
          <w:szCs w:val="24"/>
          <w:lang w:val="en-US"/>
        </w:rPr>
        <w:t>Data Analysis</w:t>
      </w:r>
    </w:p>
    <w:p xmlns:wp14="http://schemas.microsoft.com/office/word/2010/wordml" w:rsidP="633E660A" wp14:paraId="15040880" wp14:textId="164467AD">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Data analysis in this article is interpretive and conceptual. There is no statistical analysis, no coding of qualitative data, and no systematic method for evaluating competing evidence. The authors organize literature-derived challenges into thematic clusters and draw conclusions based on their interpretive synthesis. While the analysis is coherent and well-organized, it lacks the methodological rigor that would allow other researchers to replicate or extend the work. The conclusions, though </w:t>
      </w:r>
      <w:r w:rsidRPr="633E660A" w:rsidR="3B8BC13B">
        <w:rPr>
          <w:rFonts w:ascii="Times New Roman" w:hAnsi="Times New Roman" w:eastAsia="Times New Roman" w:cs="Times New Roman"/>
          <w:noProof w:val="0"/>
          <w:sz w:val="24"/>
          <w:szCs w:val="24"/>
          <w:lang w:val="en-US"/>
        </w:rPr>
        <w:t>practically relevant</w:t>
      </w:r>
      <w:r w:rsidRPr="633E660A" w:rsidR="3B8BC13B">
        <w:rPr>
          <w:rFonts w:ascii="Times New Roman" w:hAnsi="Times New Roman" w:eastAsia="Times New Roman" w:cs="Times New Roman"/>
          <w:noProof w:val="0"/>
          <w:sz w:val="24"/>
          <w:szCs w:val="24"/>
          <w:lang w:val="en-US"/>
        </w:rPr>
        <w:t>, rest on the authors' judgment rather than a transparent analytical process.</w:t>
      </w:r>
    </w:p>
    <w:p xmlns:wp14="http://schemas.microsoft.com/office/word/2010/wordml" w:rsidP="633E660A" wp14:paraId="070F4C0F" wp14:textId="1D4E46CA">
      <w:pPr>
        <w:pStyle w:val="Normal"/>
        <w:spacing w:line="480" w:lineRule="auto"/>
      </w:pPr>
      <w:r w:rsidRPr="633E660A" w:rsidR="3B8BC13B">
        <w:rPr>
          <w:rFonts w:ascii="Times New Roman" w:hAnsi="Times New Roman" w:eastAsia="Times New Roman" w:cs="Times New Roman"/>
          <w:b w:val="1"/>
          <w:bCs w:val="1"/>
          <w:noProof w:val="0"/>
          <w:sz w:val="24"/>
          <w:szCs w:val="24"/>
          <w:lang w:val="en-US"/>
        </w:rPr>
        <w:t>Results &amp; Discussion</w:t>
      </w:r>
    </w:p>
    <w:p xmlns:wp14="http://schemas.microsoft.com/office/word/2010/wordml" w:rsidP="633E660A" wp14:paraId="14474929" wp14:textId="1007CE89">
      <w:pPr>
        <w:spacing w:before="240" w:beforeAutospacing="off" w:after="240" w:afterAutospacing="off" w:line="480" w:lineRule="auto"/>
        <w:rPr>
          <w:rFonts w:ascii="Times New Roman" w:hAnsi="Times New Roman" w:eastAsia="Times New Roman" w:cs="Times New Roman"/>
          <w:noProof w:val="0"/>
          <w:sz w:val="24"/>
          <w:szCs w:val="24"/>
          <w:lang w:val="en-US"/>
        </w:rPr>
      </w:pPr>
      <w:r w:rsidRPr="633E660A" w:rsidR="3B8BC13B">
        <w:rPr>
          <w:rFonts w:ascii="Times New Roman" w:hAnsi="Times New Roman" w:eastAsia="Times New Roman" w:cs="Times New Roman"/>
          <w:noProof w:val="0"/>
          <w:sz w:val="24"/>
          <w:szCs w:val="24"/>
          <w:lang w:val="en-US"/>
        </w:rPr>
        <w:t xml:space="preserve">The article </w:t>
      </w:r>
      <w:r w:rsidRPr="633E660A" w:rsidR="3B8BC13B">
        <w:rPr>
          <w:rFonts w:ascii="Times New Roman" w:hAnsi="Times New Roman" w:eastAsia="Times New Roman" w:cs="Times New Roman"/>
          <w:noProof w:val="0"/>
          <w:sz w:val="24"/>
          <w:szCs w:val="24"/>
          <w:lang w:val="en-US"/>
        </w:rPr>
        <w:t>identifies</w:t>
      </w:r>
      <w:r w:rsidRPr="633E660A" w:rsidR="3B8BC13B">
        <w:rPr>
          <w:rFonts w:ascii="Times New Roman" w:hAnsi="Times New Roman" w:eastAsia="Times New Roman" w:cs="Times New Roman"/>
          <w:noProof w:val="0"/>
          <w:sz w:val="24"/>
          <w:szCs w:val="24"/>
          <w:lang w:val="en-US"/>
        </w:rPr>
        <w:t xml:space="preserve"> five broad challenge areas facing educational technologists, including issues of systemic change, professional development, </w:t>
      </w:r>
      <w:r w:rsidRPr="633E660A" w:rsidR="3B8BC13B">
        <w:rPr>
          <w:rFonts w:ascii="Times New Roman" w:hAnsi="Times New Roman" w:eastAsia="Times New Roman" w:cs="Times New Roman"/>
          <w:noProof w:val="0"/>
          <w:sz w:val="24"/>
          <w:szCs w:val="24"/>
          <w:lang w:val="en-US"/>
        </w:rPr>
        <w:t>equitable</w:t>
      </w:r>
      <w:r w:rsidRPr="633E660A" w:rsidR="3B8BC13B">
        <w:rPr>
          <w:rFonts w:ascii="Times New Roman" w:hAnsi="Times New Roman" w:eastAsia="Times New Roman" w:cs="Times New Roman"/>
          <w:noProof w:val="0"/>
          <w:sz w:val="24"/>
          <w:szCs w:val="24"/>
          <w:lang w:val="en-US"/>
        </w:rPr>
        <w:t xml:space="preserve"> access, instructional design, and ethical responsibility. These themes are coherently presented and discussed with enough practical depth to be useful for practitioners and policymakers. </w:t>
      </w:r>
      <w:r w:rsidRPr="633E660A" w:rsidR="3B8BC13B">
        <w:rPr>
          <w:rFonts w:ascii="Times New Roman" w:hAnsi="Times New Roman" w:eastAsia="Times New Roman" w:cs="Times New Roman"/>
          <w:noProof w:val="0"/>
          <w:sz w:val="24"/>
          <w:szCs w:val="24"/>
          <w:lang w:val="en-US"/>
        </w:rPr>
        <w:t>The discussion connects the identified challenges to broader trends in education and technology, offering a panoramic view of the field's pressure points.</w:t>
      </w:r>
    </w:p>
    <w:p xmlns:wp14="http://schemas.microsoft.com/office/word/2010/wordml" w:rsidP="633E660A" wp14:paraId="66CD66D5" wp14:textId="1D92772B">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However, the results are not empirically </w:t>
      </w:r>
      <w:r w:rsidRPr="633E660A" w:rsidR="3B8BC13B">
        <w:rPr>
          <w:rFonts w:ascii="Times New Roman" w:hAnsi="Times New Roman" w:eastAsia="Times New Roman" w:cs="Times New Roman"/>
          <w:noProof w:val="0"/>
          <w:sz w:val="24"/>
          <w:szCs w:val="24"/>
          <w:lang w:val="en-US"/>
        </w:rPr>
        <w:t>validated</w:t>
      </w:r>
      <w:r w:rsidRPr="633E660A" w:rsidR="3B8BC13B">
        <w:rPr>
          <w:rFonts w:ascii="Times New Roman" w:hAnsi="Times New Roman" w:eastAsia="Times New Roman" w:cs="Times New Roman"/>
          <w:noProof w:val="0"/>
          <w:sz w:val="24"/>
          <w:szCs w:val="24"/>
          <w:lang w:val="en-US"/>
        </w:rPr>
        <w:t xml:space="preserve">. Claims such as the need for systemic planning or ongoing professional development, while intuitively compelling, are not </w:t>
      </w:r>
      <w:r w:rsidRPr="633E660A" w:rsidR="3B8BC13B">
        <w:rPr>
          <w:rFonts w:ascii="Times New Roman" w:hAnsi="Times New Roman" w:eastAsia="Times New Roman" w:cs="Times New Roman"/>
          <w:noProof w:val="0"/>
          <w:sz w:val="24"/>
          <w:szCs w:val="24"/>
          <w:lang w:val="en-US"/>
        </w:rPr>
        <w:t>demonstrated</w:t>
      </w:r>
      <w:r w:rsidRPr="633E660A" w:rsidR="3B8BC13B">
        <w:rPr>
          <w:rFonts w:ascii="Times New Roman" w:hAnsi="Times New Roman" w:eastAsia="Times New Roman" w:cs="Times New Roman"/>
          <w:noProof w:val="0"/>
          <w:sz w:val="24"/>
          <w:szCs w:val="24"/>
          <w:lang w:val="en-US"/>
        </w:rPr>
        <w:t xml:space="preserve"> through data. For the article to have greater research impact, a follow-up empirical study testing these claims in specific school or district contexts would be a logical and necessary next step.</w:t>
      </w:r>
    </w:p>
    <w:p xmlns:wp14="http://schemas.microsoft.com/office/word/2010/wordml" w:rsidP="633E660A" wp14:paraId="022A2474" wp14:textId="655D4125">
      <w:pPr>
        <w:pStyle w:val="Normal"/>
        <w:spacing w:line="480" w:lineRule="auto"/>
      </w:pPr>
      <w:r w:rsidRPr="633E660A" w:rsidR="3B8BC13B">
        <w:rPr>
          <w:rFonts w:ascii="Times New Roman" w:hAnsi="Times New Roman" w:eastAsia="Times New Roman" w:cs="Times New Roman"/>
          <w:b w:val="1"/>
          <w:bCs w:val="1"/>
          <w:noProof w:val="0"/>
          <w:sz w:val="24"/>
          <w:szCs w:val="24"/>
          <w:lang w:val="en-US"/>
        </w:rPr>
        <w:t>Overall Evaluation</w:t>
      </w:r>
    </w:p>
    <w:p xmlns:wp14="http://schemas.microsoft.com/office/word/2010/wordml" w:rsidP="633E660A" wp14:paraId="6177E45E" wp14:textId="66778992">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Mayes, Natividad, and Spector offer a relevant, clearly written, and professionally grounded examination of the challenges educational technologists face in contemporary K–12 settings. The article contributes meaningfully to field-level dialogue by naming and organizing persistent concerns that practitioners </w:t>
      </w:r>
      <w:r w:rsidRPr="633E660A" w:rsidR="3B8BC13B">
        <w:rPr>
          <w:rFonts w:ascii="Times New Roman" w:hAnsi="Times New Roman" w:eastAsia="Times New Roman" w:cs="Times New Roman"/>
          <w:noProof w:val="0"/>
          <w:sz w:val="24"/>
          <w:szCs w:val="24"/>
          <w:lang w:val="en-US"/>
        </w:rPr>
        <w:t>encounter</w:t>
      </w:r>
      <w:r w:rsidRPr="633E660A" w:rsidR="3B8BC13B">
        <w:rPr>
          <w:rFonts w:ascii="Times New Roman" w:hAnsi="Times New Roman" w:eastAsia="Times New Roman" w:cs="Times New Roman"/>
          <w:noProof w:val="0"/>
          <w:sz w:val="24"/>
          <w:szCs w:val="24"/>
          <w:lang w:val="en-US"/>
        </w:rPr>
        <w:t xml:space="preserve"> daily. Its value lies primarily in its accessibility and relevance rather than its methodological contribution.</w:t>
      </w:r>
    </w:p>
    <w:p xmlns:wp14="http://schemas.microsoft.com/office/word/2010/wordml" w:rsidP="633E660A" wp14:paraId="50FF8615" wp14:textId="4A8A3B5E">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That said, the article's non-empirical design, absence of a formal theoretical framework, and lack of primary data limit its research utility. It functions best as a discussion piece or introductory reading rather than a foundation for evidence-based instructional design decisions. Scholars and practitioners </w:t>
      </w:r>
      <w:r w:rsidRPr="633E660A" w:rsidR="3B8BC13B">
        <w:rPr>
          <w:rFonts w:ascii="Times New Roman" w:hAnsi="Times New Roman" w:eastAsia="Times New Roman" w:cs="Times New Roman"/>
          <w:noProof w:val="0"/>
          <w:sz w:val="24"/>
          <w:szCs w:val="24"/>
          <w:lang w:val="en-US"/>
        </w:rPr>
        <w:t>seeking</w:t>
      </w:r>
      <w:r w:rsidRPr="633E660A" w:rsidR="3B8BC13B">
        <w:rPr>
          <w:rFonts w:ascii="Times New Roman" w:hAnsi="Times New Roman" w:eastAsia="Times New Roman" w:cs="Times New Roman"/>
          <w:noProof w:val="0"/>
          <w:sz w:val="24"/>
          <w:szCs w:val="24"/>
          <w:lang w:val="en-US"/>
        </w:rPr>
        <w:t xml:space="preserve"> actionable, data-supported guidance will need to supplement this article with empirical research.</w:t>
      </w:r>
    </w:p>
    <w:p xmlns:wp14="http://schemas.microsoft.com/office/word/2010/wordml" w:rsidP="633E660A" wp14:paraId="645A5C1A" wp14:textId="2B40E023">
      <w:pPr>
        <w:spacing w:line="480" w:lineRule="auto"/>
      </w:pPr>
    </w:p>
    <w:p xmlns:wp14="http://schemas.microsoft.com/office/word/2010/wordml" w:rsidP="633E660A" wp14:paraId="1E7926C0" wp14:textId="59867D95">
      <w:pPr>
        <w:spacing w:before="240" w:beforeAutospacing="off" w:after="240" w:afterAutospacing="off" w:line="480" w:lineRule="auto"/>
      </w:pPr>
      <w:r w:rsidRPr="633E660A" w:rsidR="3B8BC13B">
        <w:rPr>
          <w:rFonts w:ascii="Times New Roman" w:hAnsi="Times New Roman" w:eastAsia="Times New Roman" w:cs="Times New Roman"/>
          <w:b w:val="1"/>
          <w:bCs w:val="1"/>
          <w:noProof w:val="0"/>
          <w:sz w:val="24"/>
          <w:szCs w:val="24"/>
          <w:lang w:val="en-US"/>
        </w:rPr>
        <w:t>Reflection on Critique Process</w:t>
      </w:r>
    </w:p>
    <w:p xmlns:wp14="http://schemas.microsoft.com/office/word/2010/wordml" w:rsidP="633E660A" wp14:paraId="4C832215" wp14:textId="23EE92B4">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Engaging critically with this article required moving beyond surface-level evaluation to examine not just what the authors argued, but how and on what basis. This process deepened my understanding of the distinction between conceptual and empirical scholarship — a distinction that matters significantly in a field where decisions affect real learners. Recognizing that a piece of writing can be professionally valuable and methodologically limited at the same time is itself an important analytical skill, one this critique helped me develop.</w:t>
      </w:r>
    </w:p>
    <w:p xmlns:wp14="http://schemas.microsoft.com/office/word/2010/wordml" w:rsidP="633E660A" wp14:paraId="6702634B" wp14:textId="3FD627EB">
      <w:pPr>
        <w:spacing w:line="480" w:lineRule="auto"/>
      </w:pPr>
    </w:p>
    <w:p xmlns:wp14="http://schemas.microsoft.com/office/word/2010/wordml" w:rsidP="633E660A" wp14:paraId="6052CAF2" wp14:textId="2A92288D">
      <w:pPr>
        <w:spacing w:before="240" w:beforeAutospacing="off" w:after="240" w:afterAutospacing="off" w:line="480" w:lineRule="auto"/>
        <w:rPr>
          <w:rFonts w:ascii="Times New Roman" w:hAnsi="Times New Roman" w:eastAsia="Times New Roman" w:cs="Times New Roman"/>
          <w:b w:val="1"/>
          <w:bCs w:val="1"/>
          <w:noProof w:val="0"/>
          <w:sz w:val="24"/>
          <w:szCs w:val="24"/>
          <w:lang w:val="en-US"/>
        </w:rPr>
      </w:pPr>
    </w:p>
    <w:p xmlns:wp14="http://schemas.microsoft.com/office/word/2010/wordml" w:rsidP="633E660A" wp14:paraId="7273F891" wp14:textId="64D5D16C">
      <w:pPr>
        <w:spacing w:line="480" w:lineRule="auto"/>
      </w:pPr>
      <w:r>
        <w:br w:type="page"/>
      </w:r>
    </w:p>
    <w:p xmlns:wp14="http://schemas.microsoft.com/office/word/2010/wordml" w:rsidP="633E660A" wp14:paraId="7192B680" wp14:textId="701E22AD">
      <w:pPr>
        <w:pStyle w:val="Normal"/>
        <w:spacing w:before="240" w:beforeAutospacing="off" w:after="240" w:afterAutospacing="off" w:line="480" w:lineRule="auto"/>
        <w:jc w:val="center"/>
      </w:pPr>
      <w:r w:rsidRPr="633E660A" w:rsidR="3B8BC13B">
        <w:rPr>
          <w:rFonts w:ascii="Times New Roman" w:hAnsi="Times New Roman" w:eastAsia="Times New Roman" w:cs="Times New Roman"/>
          <w:b w:val="1"/>
          <w:bCs w:val="1"/>
          <w:noProof w:val="0"/>
          <w:sz w:val="24"/>
          <w:szCs w:val="24"/>
          <w:lang w:val="en-US"/>
        </w:rPr>
        <w:t>References</w:t>
      </w:r>
    </w:p>
    <w:p xmlns:wp14="http://schemas.microsoft.com/office/word/2010/wordml" w:rsidP="633E660A" wp14:paraId="5E38AB51" wp14:textId="34763519">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Mayes, R., Natividad, G., &amp; Spector, J. M. (2015). Challenges for educational technologists in the 21st century. </w:t>
      </w:r>
      <w:r w:rsidRPr="633E660A" w:rsidR="3B8BC13B">
        <w:rPr>
          <w:rFonts w:ascii="Times New Roman" w:hAnsi="Times New Roman" w:eastAsia="Times New Roman" w:cs="Times New Roman"/>
          <w:i w:val="1"/>
          <w:iCs w:val="1"/>
          <w:noProof w:val="0"/>
          <w:sz w:val="24"/>
          <w:szCs w:val="24"/>
          <w:lang w:val="en-US"/>
        </w:rPr>
        <w:t>Education Sciences</w:t>
      </w:r>
      <w:r w:rsidRPr="633E660A" w:rsidR="3B8BC13B">
        <w:rPr>
          <w:rFonts w:ascii="Times New Roman" w:hAnsi="Times New Roman" w:eastAsia="Times New Roman" w:cs="Times New Roman"/>
          <w:noProof w:val="0"/>
          <w:sz w:val="24"/>
          <w:szCs w:val="24"/>
          <w:lang w:val="en-US"/>
        </w:rPr>
        <w:t xml:space="preserve">, </w:t>
      </w:r>
      <w:r w:rsidRPr="633E660A" w:rsidR="3B8BC13B">
        <w:rPr>
          <w:rFonts w:ascii="Times New Roman" w:hAnsi="Times New Roman" w:eastAsia="Times New Roman" w:cs="Times New Roman"/>
          <w:i w:val="1"/>
          <w:iCs w:val="1"/>
          <w:noProof w:val="0"/>
          <w:sz w:val="24"/>
          <w:szCs w:val="24"/>
          <w:lang w:val="en-US"/>
        </w:rPr>
        <w:t>5</w:t>
      </w:r>
      <w:r w:rsidRPr="633E660A" w:rsidR="3B8BC13B">
        <w:rPr>
          <w:rFonts w:ascii="Times New Roman" w:hAnsi="Times New Roman" w:eastAsia="Times New Roman" w:cs="Times New Roman"/>
          <w:noProof w:val="0"/>
          <w:sz w:val="24"/>
          <w:szCs w:val="24"/>
          <w:lang w:val="en-US"/>
        </w:rPr>
        <w:t xml:space="preserve">(3), 221–229. </w:t>
      </w:r>
      <w:hyperlink r:id="Rf65c4bd411604026">
        <w:r w:rsidRPr="633E660A" w:rsidR="3B8BC13B">
          <w:rPr>
            <w:rStyle w:val="Hyperlink"/>
            <w:rFonts w:ascii="Times New Roman" w:hAnsi="Times New Roman" w:eastAsia="Times New Roman" w:cs="Times New Roman"/>
            <w:noProof w:val="0"/>
            <w:sz w:val="24"/>
            <w:szCs w:val="24"/>
            <w:lang w:val="en-US"/>
          </w:rPr>
          <w:t>https://doi.org/10.3390/educsci5030221</w:t>
        </w:r>
      </w:hyperlink>
    </w:p>
    <w:p xmlns:wp14="http://schemas.microsoft.com/office/word/2010/wordml" w:rsidP="633E660A" wp14:paraId="48F950CC" wp14:textId="2575542A">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Ertmer, P. A., &amp; Ottenbreit-Leftwich, A. T. (2010). Teacher technology change: How knowledge, confidence, beliefs, and culture intersect. </w:t>
      </w:r>
      <w:r w:rsidRPr="633E660A" w:rsidR="3B8BC13B">
        <w:rPr>
          <w:rFonts w:ascii="Times New Roman" w:hAnsi="Times New Roman" w:eastAsia="Times New Roman" w:cs="Times New Roman"/>
          <w:i w:val="1"/>
          <w:iCs w:val="1"/>
          <w:noProof w:val="0"/>
          <w:sz w:val="24"/>
          <w:szCs w:val="24"/>
          <w:lang w:val="en-US"/>
        </w:rPr>
        <w:t>Journal of Research on Technology in Education</w:t>
      </w:r>
      <w:r w:rsidRPr="633E660A" w:rsidR="3B8BC13B">
        <w:rPr>
          <w:rFonts w:ascii="Times New Roman" w:hAnsi="Times New Roman" w:eastAsia="Times New Roman" w:cs="Times New Roman"/>
          <w:noProof w:val="0"/>
          <w:sz w:val="24"/>
          <w:szCs w:val="24"/>
          <w:lang w:val="en-US"/>
        </w:rPr>
        <w:t xml:space="preserve">, </w:t>
      </w:r>
      <w:r w:rsidRPr="633E660A" w:rsidR="3B8BC13B">
        <w:rPr>
          <w:rFonts w:ascii="Times New Roman" w:hAnsi="Times New Roman" w:eastAsia="Times New Roman" w:cs="Times New Roman"/>
          <w:i w:val="1"/>
          <w:iCs w:val="1"/>
          <w:noProof w:val="0"/>
          <w:sz w:val="24"/>
          <w:szCs w:val="24"/>
          <w:lang w:val="en-US"/>
        </w:rPr>
        <w:t>42</w:t>
      </w:r>
      <w:r w:rsidRPr="633E660A" w:rsidR="3B8BC13B">
        <w:rPr>
          <w:rFonts w:ascii="Times New Roman" w:hAnsi="Times New Roman" w:eastAsia="Times New Roman" w:cs="Times New Roman"/>
          <w:noProof w:val="0"/>
          <w:sz w:val="24"/>
          <w:szCs w:val="24"/>
          <w:lang w:val="en-US"/>
        </w:rPr>
        <w:t>(3), 255–284.</w:t>
      </w:r>
    </w:p>
    <w:p xmlns:wp14="http://schemas.microsoft.com/office/word/2010/wordml" w:rsidP="633E660A" wp14:paraId="56C3F1D0" wp14:textId="3C1EB755">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Koehler, M. J., &amp; Mishra, P. (2009). What is technological pedagogical content knowledge? </w:t>
      </w:r>
      <w:r w:rsidRPr="633E660A" w:rsidR="3B8BC13B">
        <w:rPr>
          <w:rFonts w:ascii="Times New Roman" w:hAnsi="Times New Roman" w:eastAsia="Times New Roman" w:cs="Times New Roman"/>
          <w:i w:val="1"/>
          <w:iCs w:val="1"/>
          <w:noProof w:val="0"/>
          <w:sz w:val="24"/>
          <w:szCs w:val="24"/>
          <w:lang w:val="en-US"/>
        </w:rPr>
        <w:t>Contemporary Issues in Technology and Teacher Education</w:t>
      </w:r>
      <w:r w:rsidRPr="633E660A" w:rsidR="3B8BC13B">
        <w:rPr>
          <w:rFonts w:ascii="Times New Roman" w:hAnsi="Times New Roman" w:eastAsia="Times New Roman" w:cs="Times New Roman"/>
          <w:noProof w:val="0"/>
          <w:sz w:val="24"/>
          <w:szCs w:val="24"/>
          <w:lang w:val="en-US"/>
        </w:rPr>
        <w:t xml:space="preserve">, </w:t>
      </w:r>
      <w:r w:rsidRPr="633E660A" w:rsidR="3B8BC13B">
        <w:rPr>
          <w:rFonts w:ascii="Times New Roman" w:hAnsi="Times New Roman" w:eastAsia="Times New Roman" w:cs="Times New Roman"/>
          <w:i w:val="1"/>
          <w:iCs w:val="1"/>
          <w:noProof w:val="0"/>
          <w:sz w:val="24"/>
          <w:szCs w:val="24"/>
          <w:lang w:val="en-US"/>
        </w:rPr>
        <w:t>9</w:t>
      </w:r>
      <w:r w:rsidRPr="633E660A" w:rsidR="3B8BC13B">
        <w:rPr>
          <w:rFonts w:ascii="Times New Roman" w:hAnsi="Times New Roman" w:eastAsia="Times New Roman" w:cs="Times New Roman"/>
          <w:noProof w:val="0"/>
          <w:sz w:val="24"/>
          <w:szCs w:val="24"/>
          <w:lang w:val="en-US"/>
        </w:rPr>
        <w:t>(1), 60–70.</w:t>
      </w:r>
    </w:p>
    <w:p xmlns:wp14="http://schemas.microsoft.com/office/word/2010/wordml" w:rsidP="633E660A" wp14:paraId="27DDE199" wp14:textId="7A1F45BC">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Means, B., Toyama, Y., Murphy, R., &amp; Baki, M. (2014). The effectiveness of online and blended learning: A meta-analysis of </w:t>
      </w:r>
      <w:r w:rsidRPr="633E660A" w:rsidR="3B8BC13B">
        <w:rPr>
          <w:rFonts w:ascii="Times New Roman" w:hAnsi="Times New Roman" w:eastAsia="Times New Roman" w:cs="Times New Roman"/>
          <w:noProof w:val="0"/>
          <w:sz w:val="24"/>
          <w:szCs w:val="24"/>
          <w:lang w:val="en-US"/>
        </w:rPr>
        <w:t>the empirical</w:t>
      </w:r>
      <w:r w:rsidRPr="633E660A" w:rsidR="3B8BC13B">
        <w:rPr>
          <w:rFonts w:ascii="Times New Roman" w:hAnsi="Times New Roman" w:eastAsia="Times New Roman" w:cs="Times New Roman"/>
          <w:noProof w:val="0"/>
          <w:sz w:val="24"/>
          <w:szCs w:val="24"/>
          <w:lang w:val="en-US"/>
        </w:rPr>
        <w:t xml:space="preserve"> literature. </w:t>
      </w:r>
      <w:r w:rsidRPr="633E660A" w:rsidR="3B8BC13B">
        <w:rPr>
          <w:rFonts w:ascii="Times New Roman" w:hAnsi="Times New Roman" w:eastAsia="Times New Roman" w:cs="Times New Roman"/>
          <w:i w:val="1"/>
          <w:iCs w:val="1"/>
          <w:noProof w:val="0"/>
          <w:sz w:val="24"/>
          <w:szCs w:val="24"/>
          <w:lang w:val="en-US"/>
        </w:rPr>
        <w:t>Teachers College Record</w:t>
      </w:r>
      <w:r w:rsidRPr="633E660A" w:rsidR="3B8BC13B">
        <w:rPr>
          <w:rFonts w:ascii="Times New Roman" w:hAnsi="Times New Roman" w:eastAsia="Times New Roman" w:cs="Times New Roman"/>
          <w:noProof w:val="0"/>
          <w:sz w:val="24"/>
          <w:szCs w:val="24"/>
          <w:lang w:val="en-US"/>
        </w:rPr>
        <w:t xml:space="preserve">, </w:t>
      </w:r>
      <w:r w:rsidRPr="633E660A" w:rsidR="3B8BC13B">
        <w:rPr>
          <w:rFonts w:ascii="Times New Roman" w:hAnsi="Times New Roman" w:eastAsia="Times New Roman" w:cs="Times New Roman"/>
          <w:i w:val="1"/>
          <w:iCs w:val="1"/>
          <w:noProof w:val="0"/>
          <w:sz w:val="24"/>
          <w:szCs w:val="24"/>
          <w:lang w:val="en-US"/>
        </w:rPr>
        <w:t>116</w:t>
      </w:r>
      <w:r w:rsidRPr="633E660A" w:rsidR="3B8BC13B">
        <w:rPr>
          <w:rFonts w:ascii="Times New Roman" w:hAnsi="Times New Roman" w:eastAsia="Times New Roman" w:cs="Times New Roman"/>
          <w:noProof w:val="0"/>
          <w:sz w:val="24"/>
          <w:szCs w:val="24"/>
          <w:lang w:val="en-US"/>
        </w:rPr>
        <w:t>(3), 1–30.</w:t>
      </w:r>
    </w:p>
    <w:p xmlns:wp14="http://schemas.microsoft.com/office/word/2010/wordml" w:rsidP="633E660A" wp14:paraId="6C408016" wp14:textId="312750E2">
      <w:pPr>
        <w:spacing w:before="240" w:beforeAutospacing="off" w:after="240" w:afterAutospacing="off" w:line="480" w:lineRule="auto"/>
      </w:pPr>
      <w:r w:rsidRPr="633E660A" w:rsidR="3B8BC13B">
        <w:rPr>
          <w:rFonts w:ascii="Times New Roman" w:hAnsi="Times New Roman" w:eastAsia="Times New Roman" w:cs="Times New Roman"/>
          <w:noProof w:val="0"/>
          <w:sz w:val="24"/>
          <w:szCs w:val="24"/>
          <w:lang w:val="en-US"/>
        </w:rPr>
        <w:t xml:space="preserve">Spector, J. M. (2014). Conceptualizing the emerging field of smart learning environments. </w:t>
      </w:r>
      <w:r w:rsidRPr="633E660A" w:rsidR="3B8BC13B">
        <w:rPr>
          <w:rFonts w:ascii="Times New Roman" w:hAnsi="Times New Roman" w:eastAsia="Times New Roman" w:cs="Times New Roman"/>
          <w:i w:val="1"/>
          <w:iCs w:val="1"/>
          <w:noProof w:val="0"/>
          <w:sz w:val="24"/>
          <w:szCs w:val="24"/>
          <w:lang w:val="en-US"/>
        </w:rPr>
        <w:t>Smart Learning Environments</w:t>
      </w:r>
      <w:r w:rsidRPr="633E660A" w:rsidR="3B8BC13B">
        <w:rPr>
          <w:rFonts w:ascii="Times New Roman" w:hAnsi="Times New Roman" w:eastAsia="Times New Roman" w:cs="Times New Roman"/>
          <w:noProof w:val="0"/>
          <w:sz w:val="24"/>
          <w:szCs w:val="24"/>
          <w:lang w:val="en-US"/>
        </w:rPr>
        <w:t xml:space="preserve">, </w:t>
      </w:r>
      <w:r w:rsidRPr="633E660A" w:rsidR="3B8BC13B">
        <w:rPr>
          <w:rFonts w:ascii="Times New Roman" w:hAnsi="Times New Roman" w:eastAsia="Times New Roman" w:cs="Times New Roman"/>
          <w:i w:val="1"/>
          <w:iCs w:val="1"/>
          <w:noProof w:val="0"/>
          <w:sz w:val="24"/>
          <w:szCs w:val="24"/>
          <w:lang w:val="en-US"/>
        </w:rPr>
        <w:t>1</w:t>
      </w:r>
      <w:r w:rsidRPr="633E660A" w:rsidR="3B8BC13B">
        <w:rPr>
          <w:rFonts w:ascii="Times New Roman" w:hAnsi="Times New Roman" w:eastAsia="Times New Roman" w:cs="Times New Roman"/>
          <w:noProof w:val="0"/>
          <w:sz w:val="24"/>
          <w:szCs w:val="24"/>
          <w:lang w:val="en-US"/>
        </w:rPr>
        <w:t xml:space="preserve">(1), 1–10. </w:t>
      </w:r>
      <w:hyperlink r:id="Reabf502badaf4bc0">
        <w:r w:rsidRPr="633E660A" w:rsidR="3B8BC13B">
          <w:rPr>
            <w:rStyle w:val="Hyperlink"/>
            <w:rFonts w:ascii="Times New Roman" w:hAnsi="Times New Roman" w:eastAsia="Times New Roman" w:cs="Times New Roman"/>
            <w:noProof w:val="0"/>
            <w:sz w:val="24"/>
            <w:szCs w:val="24"/>
            <w:lang w:val="en-US"/>
          </w:rPr>
          <w:t>https://doi.org/10.1186/s40561-014-0002-7</w:t>
        </w:r>
      </w:hyperlink>
    </w:p>
    <w:p xmlns:wp14="http://schemas.microsoft.com/office/word/2010/wordml" w:rsidP="633E660A" wp14:paraId="2C078E63" wp14:textId="10CA308B">
      <w:pPr>
        <w:spacing w:line="480" w:lineRule="auto"/>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ubaeKxM+uhCuLt" int2:id="oeVqmkbM">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398BC9"/>
    <w:rsid w:val="0794FD7C"/>
    <w:rsid w:val="2B398BC9"/>
    <w:rsid w:val="2F0E5E39"/>
    <w:rsid w:val="3AD259F5"/>
    <w:rsid w:val="3B8BC13B"/>
    <w:rsid w:val="3EF7F1B6"/>
    <w:rsid w:val="44FD471A"/>
    <w:rsid w:val="46FA7E09"/>
    <w:rsid w:val="472014BE"/>
    <w:rsid w:val="507DE618"/>
    <w:rsid w:val="51DC08B6"/>
    <w:rsid w:val="577B484B"/>
    <w:rsid w:val="633E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BC9"/>
  <w15:chartTrackingRefBased/>
  <w15:docId w15:val="{65B72F0C-67A8-497D-8B67-8602DC23E2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33E660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33E660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633E660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oi.org/10.3390/educsci5030221" TargetMode="External" Id="R37474c5cd7364dac" /><Relationship Type="http://schemas.openxmlformats.org/officeDocument/2006/relationships/hyperlink" Target="https://doi.org/10.3390/educsci5030221" TargetMode="External" Id="Rf65c4bd411604026" /><Relationship Type="http://schemas.openxmlformats.org/officeDocument/2006/relationships/hyperlink" Target="https://doi.org/10.1186/s40561-014-0002-7" TargetMode="External" Id="Reabf502badaf4bc0" /><Relationship Type="http://schemas.microsoft.com/office/2020/10/relationships/intelligence" Target="intelligence2.xml" Id="R62b241fb673041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2026-04-01T12:16:41.6951467Z</dcterms:created>
  <dcterms:modified xsi:type="dcterms:W3CDTF">2026-04-01T12:30:07.8706497Z</dcterms:modified>
  <dc:creator>Multazim Hussain Mohammad</dc:creator>
  <lastModifiedBy>Multazim Hussain Mohammad</lastModifiedBy>
</coreProperties>
</file>